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84" w:rsidRPr="009F7B00" w:rsidRDefault="000C0984" w:rsidP="00EF012A">
      <w:pPr>
        <w:widowControl/>
        <w:shd w:val="clear" w:color="auto" w:fill="FFFFFF"/>
        <w:jc w:val="center"/>
        <w:rPr>
          <w:rFonts w:ascii="微軟正黑體" w:eastAsia="微軟正黑體" w:hAnsi="微軟正黑體" w:cs="Helvetica"/>
          <w:color w:val="00008C"/>
          <w:kern w:val="0"/>
          <w:sz w:val="36"/>
          <w:szCs w:val="28"/>
        </w:rPr>
      </w:pPr>
      <w:r w:rsidRPr="009F7B00">
        <w:rPr>
          <w:rFonts w:ascii="微軟正黑體" w:eastAsia="微軟正黑體" w:hAnsi="微軟正黑體" w:cs="Helvetica"/>
          <w:color w:val="00008C"/>
          <w:kern w:val="0"/>
          <w:sz w:val="36"/>
          <w:szCs w:val="28"/>
        </w:rPr>
        <w:t xml:space="preserve">教務處  </w:t>
      </w:r>
      <w:r w:rsidR="009F7B00" w:rsidRPr="009F7B00">
        <w:rPr>
          <w:rFonts w:ascii="微軟正黑體" w:eastAsia="微軟正黑體" w:hAnsi="微軟正黑體" w:cs="Helvetica"/>
          <w:color w:val="00008C"/>
          <w:kern w:val="0"/>
          <w:sz w:val="36"/>
          <w:szCs w:val="28"/>
        </w:rPr>
        <w:t xml:space="preserve"> </w:t>
      </w:r>
      <w:r w:rsidRPr="009F7B00">
        <w:rPr>
          <w:rFonts w:ascii="微軟正黑體" w:eastAsia="微軟正黑體" w:hAnsi="微軟正黑體" w:cs="Helvetica"/>
          <w:color w:val="00008C"/>
          <w:kern w:val="0"/>
          <w:sz w:val="36"/>
          <w:szCs w:val="28"/>
        </w:rPr>
        <w:t>通知</w:t>
      </w:r>
    </w:p>
    <w:p w:rsidR="006F3CC5" w:rsidRPr="000C0984" w:rsidRDefault="009F7B00" w:rsidP="009F7B00">
      <w:pPr>
        <w:widowControl/>
        <w:shd w:val="clear" w:color="auto" w:fill="FFFFFF"/>
        <w:adjustRightInd w:val="0"/>
        <w:snapToGrid w:val="0"/>
        <w:spacing w:afterLines="50" w:after="180"/>
        <w:rPr>
          <w:rFonts w:ascii="微軟正黑體" w:eastAsia="微軟正黑體" w:hAnsi="微軟正黑體" w:cs="Helvetica"/>
          <w:color w:val="26282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8C"/>
          <w:kern w:val="0"/>
          <w:sz w:val="28"/>
          <w:szCs w:val="28"/>
        </w:rPr>
        <w:t xml:space="preserve">    </w:t>
      </w:r>
      <w:r w:rsidR="000C0984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鑒於中央疫情指揮中心已提升</w:t>
      </w:r>
      <w:proofErr w:type="gramStart"/>
      <w:r w:rsidR="000C0984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疫</w:t>
      </w:r>
      <w:proofErr w:type="gramEnd"/>
      <w:r w:rsidR="000C0984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情警戒標準至第二級，本處已於110年5月12日通知各開課單位轉知所屬專兼任老師</w:t>
      </w:r>
      <w:proofErr w:type="gramStart"/>
      <w:r w:rsidR="000C0984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啟動線上教學</w:t>
      </w:r>
      <w:proofErr w:type="gramEnd"/>
      <w:r w:rsidR="000C0984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演練，提早因應未來如遇大規模停課時仍能持續教學；另依教育部</w:t>
      </w:r>
      <w:r w:rsidR="00386FA6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110</w:t>
      </w:r>
      <w:r w:rsidR="000C0984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年</w:t>
      </w:r>
      <w:r w:rsidR="00386FA6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5</w:t>
      </w:r>
      <w:r w:rsidR="000C0984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月</w:t>
      </w:r>
      <w:r w:rsidR="00386FA6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12</w:t>
      </w:r>
      <w:r w:rsidR="000C0984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日通報，</w:t>
      </w:r>
      <w:r w:rsidR="006F3CC5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有關上課期間之防疫措施整理如下表，敬請各院(系、所、學位學程)</w:t>
      </w:r>
      <w:r w:rsidR="000C0984" w:rsidRPr="000C0984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配合辦理</w:t>
      </w:r>
      <w:r w:rsidR="006F3CC5" w:rsidRPr="009F7B00">
        <w:rPr>
          <w:rFonts w:ascii="微軟正黑體" w:eastAsia="微軟正黑體" w:hAnsi="微軟正黑體" w:cs="Helvetica"/>
          <w:color w:val="00008C"/>
          <w:kern w:val="0"/>
          <w:sz w:val="28"/>
          <w:szCs w:val="28"/>
        </w:rPr>
        <w:t>。</w:t>
      </w:r>
    </w:p>
    <w:tbl>
      <w:tblPr>
        <w:tblW w:w="96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8449"/>
      </w:tblGrid>
      <w:tr w:rsidR="00386FA6" w:rsidRPr="009F7B00" w:rsidTr="00386FA6">
        <w:trPr>
          <w:tblHeader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FA6" w:rsidRPr="000C0984" w:rsidRDefault="00386FA6" w:rsidP="006F3CC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0C0984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類別</w:t>
            </w:r>
          </w:p>
        </w:tc>
        <w:tc>
          <w:tcPr>
            <w:tcW w:w="8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FA6" w:rsidRPr="000C0984" w:rsidRDefault="00386FA6" w:rsidP="006F3CC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配合辦理</w:t>
            </w:r>
            <w:r w:rsidRPr="000C0984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事項</w:t>
            </w:r>
          </w:p>
        </w:tc>
      </w:tr>
      <w:tr w:rsidR="00386FA6" w:rsidRPr="009F7B00" w:rsidTr="00386FA6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FA6" w:rsidRPr="000C0984" w:rsidRDefault="00386FA6" w:rsidP="006F3CC5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自我健康防護措施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FA6" w:rsidRPr="000C0984" w:rsidRDefault="00EF012A" w:rsidP="00386FA6">
            <w:pPr>
              <w:widowControl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1.</w:t>
            </w:r>
            <w:r w:rsidR="00386FA6"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自即日起至</w:t>
            </w:r>
            <w:r w:rsidR="00386FA6" w:rsidRPr="000C0984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6</w:t>
            </w:r>
            <w:r w:rsidR="00386FA6"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月</w:t>
            </w:r>
            <w:r w:rsidR="00386FA6" w:rsidRPr="000C0984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8</w:t>
            </w:r>
            <w:r w:rsidR="00386FA6"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日</w:t>
            </w:r>
            <w:r w:rsidR="00386FA6" w:rsidRPr="009F7B00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止</w:t>
            </w:r>
            <w:r w:rsidR="00386FA6"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，</w:t>
            </w:r>
            <w:r w:rsidR="00386FA6" w:rsidRPr="009F7B00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請各班級同學</w:t>
            </w:r>
            <w:r w:rsidR="00386FA6"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每日</w:t>
            </w:r>
            <w:r w:rsidR="00386FA6" w:rsidRPr="009F7B00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至</w:t>
            </w:r>
            <w:proofErr w:type="gramStart"/>
            <w:r w:rsidR="00386FA6" w:rsidRPr="009F7B00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少</w:t>
            </w:r>
            <w:r w:rsidR="00386FA6"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量測</w:t>
            </w:r>
            <w:proofErr w:type="gramEnd"/>
            <w:r w:rsidR="00386FA6" w:rsidRPr="009F7B00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1次</w:t>
            </w:r>
            <w:r w:rsidR="00386FA6"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體溫並</w:t>
            </w:r>
            <w:r w:rsidR="00386FA6" w:rsidRPr="009F7B00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保留相關紀錄</w:t>
            </w:r>
            <w:r w:rsidR="00386FA6"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，養成監測自我體溫習慣，掌握自身健康狀況。</w:t>
            </w:r>
          </w:p>
          <w:p w:rsidR="00386FA6" w:rsidRPr="000C0984" w:rsidRDefault="00386FA6" w:rsidP="00386FA6">
            <w:pPr>
              <w:widowControl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2.提醒同學</w:t>
            </w:r>
            <w:r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避免出入人多擁擠的場所，高感染傳播風險</w:t>
            </w:r>
            <w:proofErr w:type="gramStart"/>
            <w:r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場域須依</w:t>
            </w:r>
            <w:proofErr w:type="gramEnd"/>
            <w:r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規定全程佩戴口罩，維持社交距離，建立</w:t>
            </w:r>
            <w:proofErr w:type="gramStart"/>
            <w:r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實聯制</w:t>
            </w:r>
            <w:proofErr w:type="gramEnd"/>
            <w:r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，手部消毒等措施。</w:t>
            </w:r>
          </w:p>
          <w:p w:rsidR="00386FA6" w:rsidRPr="000C0984" w:rsidRDefault="00386FA6" w:rsidP="00386FA6">
            <w:pPr>
              <w:widowControl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3.</w:t>
            </w:r>
            <w:r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發現有疑似症狀</w:t>
            </w:r>
            <w:r w:rsidRPr="009F7B00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(發燒)</w:t>
            </w:r>
            <w:r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之情況，請盡速就醫，於生病期間應落實自主健康管理，</w:t>
            </w:r>
            <w:r w:rsidRPr="009F7B00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勿到校</w:t>
            </w:r>
            <w:r w:rsidRPr="000C0984">
              <w:rPr>
                <w:rFonts w:ascii="微軟正黑體" w:eastAsia="微軟正黑體" w:hAnsi="微軟正黑體" w:cs="Helvetica"/>
                <w:color w:val="000000"/>
                <w:kern w:val="0"/>
                <w:szCs w:val="24"/>
              </w:rPr>
              <w:t>上課。</w:t>
            </w:r>
          </w:p>
        </w:tc>
      </w:tr>
      <w:tr w:rsidR="00386FA6" w:rsidRPr="009F7B00" w:rsidTr="00386FA6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A6" w:rsidRPr="000C0984" w:rsidRDefault="00386FA6" w:rsidP="006F3CC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上課環境注意事項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A6" w:rsidRPr="009F7B00" w:rsidRDefault="00386FA6" w:rsidP="00386FA6">
            <w:pPr>
              <w:widowControl/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1.教室及學習</w:t>
            </w:r>
            <w:proofErr w:type="gramStart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場域應保持</w:t>
            </w:r>
            <w:proofErr w:type="gramEnd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環境通風並</w:t>
            </w:r>
            <w:r w:rsidR="00E8484E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每週</w:t>
            </w: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定期</w:t>
            </w:r>
            <w:r w:rsidR="00E8484E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以次氯酸水噴霧機</w:t>
            </w: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消毒</w:t>
            </w:r>
            <w:r w:rsidR="00E8484E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教室(次氯酸水溶液</w:t>
            </w:r>
            <w:proofErr w:type="gramStart"/>
            <w:r w:rsidR="00E8484E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請至科教</w:t>
            </w:r>
            <w:proofErr w:type="gramEnd"/>
            <w:r w:rsidR="00E8484E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中心取用)</w:t>
            </w:r>
            <w:r w:rsidR="00247199"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，並請</w:t>
            </w:r>
            <w:r w:rsidR="00247199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保留消毒</w:t>
            </w:r>
            <w:r w:rsidR="00247199"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紀錄</w:t>
            </w:r>
            <w:r w:rsidR="00247199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；另</w:t>
            </w:r>
            <w:r w:rsidR="00EF012A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經常接觸之物品表面：</w:t>
            </w:r>
            <w:proofErr w:type="gramStart"/>
            <w:r w:rsidR="00EF012A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如門把</w:t>
            </w:r>
            <w:proofErr w:type="gramEnd"/>
            <w:r w:rsidR="00EF012A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、桌面、電燈開關、冷</w:t>
            </w:r>
            <w:r w:rsidR="00EF012A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氣</w:t>
            </w: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遙控器….等</w:t>
            </w:r>
            <w:r w:rsidR="00E8484E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請隨時以清潔消毒溶液消毒</w:t>
            </w: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。</w:t>
            </w:r>
          </w:p>
          <w:p w:rsidR="00386FA6" w:rsidRPr="009F7B00" w:rsidRDefault="00386FA6" w:rsidP="00386FA6">
            <w:pPr>
              <w:widowControl/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2.教室內如使用冷氣，教室門可關閉，但應於教室四個角落之窗戶各開啟5至10公分，以維持教室適度通風。</w:t>
            </w:r>
          </w:p>
          <w:p w:rsidR="00386FA6" w:rsidRPr="009F7B00" w:rsidRDefault="00386FA6" w:rsidP="00386FA6">
            <w:pPr>
              <w:widowControl/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3.如使用吊扇應設定低速；如為</w:t>
            </w:r>
            <w:proofErr w:type="gramStart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搖頭扇應設定</w:t>
            </w:r>
            <w:proofErr w:type="gramEnd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為定向且低速。</w:t>
            </w:r>
          </w:p>
          <w:p w:rsidR="00386FA6" w:rsidRPr="000C0984" w:rsidRDefault="00386FA6" w:rsidP="00386FA6">
            <w:pPr>
              <w:widowControl/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4.請保持確認教室內備用之消毒酒精是否足夠，請師生隨時注意手部清潔。</w:t>
            </w:r>
          </w:p>
        </w:tc>
      </w:tr>
      <w:tr w:rsidR="00386FA6" w:rsidRPr="009F7B00" w:rsidTr="00386FA6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A6" w:rsidRPr="009F7B00" w:rsidRDefault="00386FA6" w:rsidP="006F3CC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上課時</w:t>
            </w:r>
          </w:p>
          <w:p w:rsidR="00386FA6" w:rsidRPr="000C0984" w:rsidRDefault="00386FA6" w:rsidP="006F3CC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注意事項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A6" w:rsidRPr="009F7B00" w:rsidRDefault="00386FA6" w:rsidP="00386FA6">
            <w:pPr>
              <w:widowControl/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1.</w:t>
            </w:r>
            <w:r w:rsidR="00EF012A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上課時應注意通風良好，並維持社交距離；如無法維持社交距離，即應</w:t>
            </w:r>
            <w:r w:rsidR="00EF012A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佩</w:t>
            </w: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戴口罩。</w:t>
            </w:r>
          </w:p>
          <w:p w:rsidR="00386FA6" w:rsidRPr="009F7B00" w:rsidRDefault="00386FA6" w:rsidP="00386FA6">
            <w:pPr>
              <w:widowControl/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2.落實課堂點名：為掌握學生上課時間動態並利於</w:t>
            </w:r>
            <w:proofErr w:type="gramStart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疫</w:t>
            </w:r>
            <w:proofErr w:type="gramEnd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情調查時能</w:t>
            </w:r>
            <w:bookmarkStart w:id="0" w:name="_GoBack"/>
            <w:bookmarkEnd w:id="0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予以追蹤，敬請每位老師確實進行課堂點名（亦可請小老師幫忙），並妥善保留點名記錄。</w:t>
            </w:r>
          </w:p>
          <w:p w:rsidR="00386FA6" w:rsidRPr="000C0984" w:rsidRDefault="00386FA6" w:rsidP="00386FA6">
            <w:pPr>
              <w:widowControl/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3.建議課程固定座位：為便於課堂點名及配合未來</w:t>
            </w:r>
            <w:proofErr w:type="gramStart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疫</w:t>
            </w:r>
            <w:proofErr w:type="gramEnd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情調查需求，建議課程</w:t>
            </w:r>
            <w:proofErr w:type="gramStart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採</w:t>
            </w:r>
            <w:proofErr w:type="gramEnd"/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固定座位上課。</w:t>
            </w:r>
          </w:p>
        </w:tc>
      </w:tr>
      <w:tr w:rsidR="00386FA6" w:rsidRPr="009F7B00" w:rsidTr="00386FA6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A6" w:rsidRPr="000C0984" w:rsidRDefault="00386FA6" w:rsidP="006F3CC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其他因應措施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A6" w:rsidRPr="009F7B00" w:rsidRDefault="009F7B00" w:rsidP="009F7B00">
            <w:pPr>
              <w:widowControl/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1.</w:t>
            </w:r>
            <w:r w:rsidR="00386FA6"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教師或學生如有教學場域通風不良之情形，請通知本處課</w:t>
            </w:r>
            <w:proofErr w:type="gramStart"/>
            <w:r w:rsidR="00386FA6"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務</w:t>
            </w:r>
            <w:proofErr w:type="gramEnd"/>
            <w:r w:rsidR="00386FA6"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組協助更換適切之場地；如無適切之場地，將由本處教學發展中心協助教師</w:t>
            </w:r>
            <w:proofErr w:type="gramStart"/>
            <w:r w:rsidR="00386FA6"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進行線上同步</w:t>
            </w:r>
            <w:proofErr w:type="gramEnd"/>
            <w:r w:rsidR="00386FA6" w:rsidRPr="009F7B00"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  <w:t>授課或錄製數位課程供學生學習。</w:t>
            </w:r>
          </w:p>
          <w:p w:rsidR="009F7B00" w:rsidRPr="000C0984" w:rsidRDefault="009F7B00" w:rsidP="009F7B00">
            <w:pPr>
              <w:widowControl/>
              <w:shd w:val="clear" w:color="auto" w:fill="FFFFFF"/>
              <w:adjustRightInd w:val="0"/>
              <w:snapToGrid w:val="0"/>
              <w:ind w:left="240" w:hangingChars="100" w:hanging="240"/>
              <w:jc w:val="both"/>
              <w:rPr>
                <w:rFonts w:ascii="微軟正黑體" w:eastAsia="微軟正黑體" w:hAnsi="微軟正黑體" w:cs="Helvetica"/>
                <w:color w:val="26282A"/>
                <w:kern w:val="0"/>
                <w:szCs w:val="24"/>
              </w:rPr>
            </w:pPr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2.</w:t>
            </w:r>
            <w:proofErr w:type="gramStart"/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請各專兼任</w:t>
            </w:r>
            <w:proofErr w:type="gramEnd"/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教師於110/5/13（四）~110/5/19（三）期間進行授課科目</w:t>
            </w:r>
            <w:proofErr w:type="gramStart"/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模擬線上授課</w:t>
            </w:r>
            <w:proofErr w:type="gramEnd"/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，並先行規劃</w:t>
            </w:r>
            <w:proofErr w:type="gramStart"/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如遇長時間</w:t>
            </w:r>
            <w:proofErr w:type="gramEnd"/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停課（2</w:t>
            </w:r>
            <w:proofErr w:type="gramStart"/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週</w:t>
            </w:r>
            <w:proofErr w:type="gramEnd"/>
            <w:r w:rsidRPr="009F7B00">
              <w:rPr>
                <w:rFonts w:ascii="微軟正黑體" w:eastAsia="微軟正黑體" w:hAnsi="微軟正黑體" w:cs="Helvetica" w:hint="eastAsia"/>
                <w:color w:val="26282A"/>
                <w:kern w:val="0"/>
                <w:szCs w:val="24"/>
              </w:rPr>
              <w:t>以上）時如何持續進行課程。</w:t>
            </w:r>
          </w:p>
        </w:tc>
      </w:tr>
    </w:tbl>
    <w:p w:rsidR="000D4797" w:rsidRPr="009F7B00" w:rsidRDefault="000D4797">
      <w:pPr>
        <w:rPr>
          <w:rFonts w:ascii="Calibri" w:hAnsi="Calibri"/>
        </w:rPr>
      </w:pPr>
    </w:p>
    <w:sectPr w:rsidR="000D4797" w:rsidRPr="009F7B00" w:rsidSect="009F7B0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4"/>
    <w:rsid w:val="000C0984"/>
    <w:rsid w:val="000D4797"/>
    <w:rsid w:val="00141845"/>
    <w:rsid w:val="00247199"/>
    <w:rsid w:val="002D5893"/>
    <w:rsid w:val="00386FA6"/>
    <w:rsid w:val="006F3CC5"/>
    <w:rsid w:val="007117C3"/>
    <w:rsid w:val="009F7B00"/>
    <w:rsid w:val="00E8484E"/>
    <w:rsid w:val="00E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2021-05-13T01:58:00Z</dcterms:created>
  <dcterms:modified xsi:type="dcterms:W3CDTF">2021-05-14T00:15:00Z</dcterms:modified>
</cp:coreProperties>
</file>